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56B13" w14:textId="77777777" w:rsidR="005479EC" w:rsidRPr="00B824BB" w:rsidRDefault="009D27A3">
      <w:pPr>
        <w:jc w:val="center"/>
        <w:rPr>
          <w:rFonts w:ascii="Calibri" w:eastAsia="Open Sans" w:hAnsi="Calibri" w:cs="Calibri"/>
          <w:i/>
        </w:rPr>
      </w:pPr>
      <w:proofErr w:type="spellStart"/>
      <w:r w:rsidRPr="00B824BB">
        <w:rPr>
          <w:rFonts w:ascii="Calibri" w:eastAsia="Open Sans" w:hAnsi="Calibri" w:cs="Calibri"/>
          <w:b/>
          <w:sz w:val="24"/>
          <w:szCs w:val="24"/>
        </w:rPr>
        <w:t>Taguig</w:t>
      </w:r>
      <w:proofErr w:type="spellEnd"/>
      <w:r w:rsidRPr="00B824BB">
        <w:rPr>
          <w:rFonts w:ascii="Calibri" w:eastAsia="Open Sans" w:hAnsi="Calibri" w:cs="Calibri"/>
          <w:b/>
          <w:sz w:val="24"/>
          <w:szCs w:val="24"/>
        </w:rPr>
        <w:t xml:space="preserve"> schools to receive eco-friendly handwashing stations in support of Global Handwashing Day</w:t>
      </w:r>
    </w:p>
    <w:p w14:paraId="08279D85" w14:textId="77777777" w:rsidR="005479EC" w:rsidRPr="00B824BB" w:rsidRDefault="009D27A3">
      <w:pPr>
        <w:jc w:val="center"/>
        <w:rPr>
          <w:rFonts w:ascii="Calibri" w:eastAsia="Open Sans" w:hAnsi="Calibri" w:cs="Calibri"/>
          <w:i/>
          <w:sz w:val="24"/>
          <w:szCs w:val="24"/>
        </w:rPr>
      </w:pPr>
      <w:r w:rsidRPr="00B824BB">
        <w:rPr>
          <w:rFonts w:ascii="Calibri" w:eastAsia="Open Sans" w:hAnsi="Calibri" w:cs="Calibri"/>
          <w:i/>
          <w:noProof/>
          <w:sz w:val="24"/>
          <w:szCs w:val="24"/>
          <w:lang w:val="en-US"/>
        </w:rPr>
        <w:drawing>
          <wp:inline distT="114300" distB="114300" distL="114300" distR="114300" wp14:anchorId="7CB2D431" wp14:editId="73836464">
            <wp:extent cx="5943600" cy="3632200"/>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943600" cy="3632200"/>
                    </a:xfrm>
                    <a:prstGeom prst="rect">
                      <a:avLst/>
                    </a:prstGeom>
                    <a:ln/>
                  </pic:spPr>
                </pic:pic>
              </a:graphicData>
            </a:graphic>
          </wp:inline>
        </w:drawing>
      </w:r>
    </w:p>
    <w:p w14:paraId="72D2A3F9" w14:textId="77777777" w:rsidR="005479EC" w:rsidRPr="00B824BB" w:rsidRDefault="009D27A3">
      <w:pPr>
        <w:jc w:val="center"/>
        <w:rPr>
          <w:rFonts w:ascii="Calibri" w:eastAsia="Open Sans" w:hAnsi="Calibri" w:cs="Calibri"/>
          <w:i/>
          <w:sz w:val="16"/>
          <w:szCs w:val="16"/>
        </w:rPr>
      </w:pPr>
      <w:r w:rsidRPr="00B824BB">
        <w:rPr>
          <w:rFonts w:ascii="Calibri" w:eastAsia="Open Sans" w:hAnsi="Calibri" w:cs="Calibri"/>
          <w:i/>
          <w:sz w:val="16"/>
          <w:szCs w:val="16"/>
        </w:rPr>
        <w:t xml:space="preserve">From left to right: P&amp;G Philippines Corporate Communications Manager King Martin Agoncillo, Head of Taguig City Health Office Dr. </w:t>
      </w:r>
      <w:proofErr w:type="spellStart"/>
      <w:r w:rsidRPr="00B824BB">
        <w:rPr>
          <w:rFonts w:ascii="Calibri" w:eastAsia="Open Sans" w:hAnsi="Calibri" w:cs="Calibri"/>
          <w:i/>
          <w:sz w:val="16"/>
          <w:szCs w:val="16"/>
        </w:rPr>
        <w:t>Norena</w:t>
      </w:r>
      <w:proofErr w:type="spellEnd"/>
      <w:r w:rsidRPr="00B824BB">
        <w:rPr>
          <w:rFonts w:ascii="Calibri" w:eastAsia="Open Sans" w:hAnsi="Calibri" w:cs="Calibri"/>
          <w:i/>
          <w:sz w:val="16"/>
          <w:szCs w:val="16"/>
        </w:rPr>
        <w:t xml:space="preserve"> </w:t>
      </w:r>
      <w:proofErr w:type="spellStart"/>
      <w:r w:rsidRPr="00B824BB">
        <w:rPr>
          <w:rFonts w:ascii="Calibri" w:eastAsia="Open Sans" w:hAnsi="Calibri" w:cs="Calibri"/>
          <w:i/>
          <w:sz w:val="16"/>
          <w:szCs w:val="16"/>
        </w:rPr>
        <w:t>Osano</w:t>
      </w:r>
      <w:proofErr w:type="spellEnd"/>
      <w:r w:rsidRPr="00B824BB">
        <w:rPr>
          <w:rFonts w:ascii="Calibri" w:eastAsia="Open Sans" w:hAnsi="Calibri" w:cs="Calibri"/>
          <w:i/>
          <w:sz w:val="16"/>
          <w:szCs w:val="16"/>
        </w:rPr>
        <w:t xml:space="preserve">, </w:t>
      </w:r>
      <w:proofErr w:type="spellStart"/>
      <w:r w:rsidRPr="00B824BB">
        <w:rPr>
          <w:rFonts w:ascii="Calibri" w:eastAsia="Open Sans" w:hAnsi="Calibri" w:cs="Calibri"/>
          <w:i/>
          <w:sz w:val="16"/>
          <w:szCs w:val="16"/>
        </w:rPr>
        <w:t>Taguig</w:t>
      </w:r>
      <w:proofErr w:type="spellEnd"/>
      <w:r w:rsidRPr="00B824BB">
        <w:rPr>
          <w:rFonts w:ascii="Calibri" w:eastAsia="Open Sans" w:hAnsi="Calibri" w:cs="Calibri"/>
          <w:i/>
          <w:sz w:val="16"/>
          <w:szCs w:val="16"/>
        </w:rPr>
        <w:t xml:space="preserve"> City Health Office Executive Assistant for Health Dr. </w:t>
      </w:r>
      <w:proofErr w:type="spellStart"/>
      <w:r w:rsidRPr="00B824BB">
        <w:rPr>
          <w:rFonts w:ascii="Calibri" w:eastAsia="Open Sans" w:hAnsi="Calibri" w:cs="Calibri"/>
          <w:i/>
          <w:sz w:val="16"/>
          <w:szCs w:val="16"/>
        </w:rPr>
        <w:t>Cecille</w:t>
      </w:r>
      <w:proofErr w:type="spellEnd"/>
      <w:r w:rsidRPr="00B824BB">
        <w:rPr>
          <w:rFonts w:ascii="Calibri" w:eastAsia="Open Sans" w:hAnsi="Calibri" w:cs="Calibri"/>
          <w:i/>
          <w:sz w:val="16"/>
          <w:szCs w:val="16"/>
        </w:rPr>
        <w:t xml:space="preserve"> </w:t>
      </w:r>
      <w:proofErr w:type="spellStart"/>
      <w:r w:rsidRPr="00B824BB">
        <w:rPr>
          <w:rFonts w:ascii="Calibri" w:eastAsia="Open Sans" w:hAnsi="Calibri" w:cs="Calibri"/>
          <w:i/>
          <w:sz w:val="16"/>
          <w:szCs w:val="16"/>
        </w:rPr>
        <w:t>Montales</w:t>
      </w:r>
      <w:proofErr w:type="spellEnd"/>
      <w:r w:rsidRPr="00B824BB">
        <w:rPr>
          <w:rFonts w:ascii="Calibri" w:eastAsia="Open Sans" w:hAnsi="Calibri" w:cs="Calibri"/>
          <w:i/>
          <w:sz w:val="16"/>
          <w:szCs w:val="16"/>
        </w:rPr>
        <w:t xml:space="preserve">, and School Governance and Operations Division (SGOD) OIC Chief Dr. Roldan </w:t>
      </w:r>
      <w:proofErr w:type="spellStart"/>
      <w:r w:rsidRPr="00B824BB">
        <w:rPr>
          <w:rFonts w:ascii="Calibri" w:eastAsia="Open Sans" w:hAnsi="Calibri" w:cs="Calibri"/>
          <w:i/>
          <w:sz w:val="16"/>
          <w:szCs w:val="16"/>
        </w:rPr>
        <w:t>Jamindang</w:t>
      </w:r>
      <w:proofErr w:type="spellEnd"/>
    </w:p>
    <w:p w14:paraId="15E96B31" w14:textId="77777777" w:rsidR="005479EC" w:rsidRPr="00B824BB" w:rsidRDefault="005479EC">
      <w:pPr>
        <w:rPr>
          <w:rFonts w:ascii="Calibri" w:eastAsia="Open Sans" w:hAnsi="Calibri" w:cs="Calibri"/>
          <w:i/>
          <w:sz w:val="24"/>
          <w:szCs w:val="24"/>
        </w:rPr>
      </w:pPr>
    </w:p>
    <w:p w14:paraId="36C1E149" w14:textId="36551702" w:rsidR="005479EC" w:rsidRPr="00B824BB" w:rsidRDefault="009D27A3">
      <w:pPr>
        <w:spacing w:line="240" w:lineRule="auto"/>
        <w:jc w:val="both"/>
        <w:rPr>
          <w:rFonts w:ascii="Calibri" w:eastAsia="Titillium Web" w:hAnsi="Calibri" w:cs="Calibri"/>
          <w:sz w:val="20"/>
          <w:szCs w:val="20"/>
          <w:highlight w:val="yellow"/>
        </w:rPr>
      </w:pPr>
      <w:r w:rsidRPr="00B824BB">
        <w:rPr>
          <w:rFonts w:ascii="Calibri" w:eastAsia="Open Sans" w:hAnsi="Calibri" w:cs="Calibri"/>
          <w:b/>
        </w:rPr>
        <w:t>[Manila, Philippines]:</w:t>
      </w:r>
      <w:r w:rsidRPr="00B824BB">
        <w:rPr>
          <w:rFonts w:ascii="Calibri" w:eastAsia="Open Sans" w:hAnsi="Calibri" w:cs="Calibri"/>
        </w:rPr>
        <w:t xml:space="preserve"> </w:t>
      </w:r>
      <w:r w:rsidRPr="00B824BB">
        <w:rPr>
          <w:rFonts w:ascii="Calibri" w:eastAsia="Titillium Web" w:hAnsi="Calibri" w:cs="Calibri"/>
          <w:sz w:val="20"/>
          <w:szCs w:val="20"/>
        </w:rPr>
        <w:t xml:space="preserve">In </w:t>
      </w:r>
      <w:r w:rsidR="00DD19F4" w:rsidRPr="00B824BB">
        <w:rPr>
          <w:rFonts w:ascii="Calibri" w:eastAsia="Titillium Web" w:hAnsi="Calibri" w:cs="Calibri"/>
          <w:sz w:val="20"/>
          <w:szCs w:val="20"/>
        </w:rPr>
        <w:t>celebration</w:t>
      </w:r>
      <w:r w:rsidRPr="00B824BB">
        <w:rPr>
          <w:rFonts w:ascii="Calibri" w:eastAsia="Titillium Web" w:hAnsi="Calibri" w:cs="Calibri"/>
          <w:sz w:val="20"/>
          <w:szCs w:val="20"/>
        </w:rPr>
        <w:t xml:space="preserve"> of Global Handwashing Day, </w:t>
      </w:r>
      <w:r w:rsidRPr="00B824BB">
        <w:rPr>
          <w:rFonts w:ascii="Calibri" w:eastAsia="Titillium Web" w:hAnsi="Calibri" w:cs="Calibri"/>
          <w:b/>
          <w:sz w:val="20"/>
          <w:szCs w:val="20"/>
        </w:rPr>
        <w:t>Procter &amp; Gamble (P&amp;G) Ph</w:t>
      </w:r>
      <w:r w:rsidRPr="00B824BB">
        <w:rPr>
          <w:rFonts w:ascii="Calibri" w:eastAsia="Titillium Web" w:hAnsi="Calibri" w:cs="Calibri"/>
          <w:b/>
          <w:sz w:val="20"/>
          <w:szCs w:val="20"/>
        </w:rPr>
        <w:t>ilippines</w:t>
      </w:r>
      <w:r w:rsidRPr="00B824BB">
        <w:rPr>
          <w:rFonts w:ascii="Calibri" w:eastAsia="Titillium Web" w:hAnsi="Calibri" w:cs="Calibri"/>
          <w:sz w:val="20"/>
          <w:szCs w:val="20"/>
        </w:rPr>
        <w:t xml:space="preserve">, the multinational company behind the number 1 anti-bacterial soap in the Philippines Safeguard, </w:t>
      </w:r>
      <w:r w:rsidRPr="00B824BB">
        <w:rPr>
          <w:rFonts w:ascii="Calibri" w:eastAsia="Titillium Web" w:hAnsi="Calibri" w:cs="Calibri"/>
          <w:b/>
          <w:sz w:val="20"/>
          <w:szCs w:val="20"/>
        </w:rPr>
        <w:t xml:space="preserve">is donating eco-friendly handwashing stations to 19 schools in Taguig City </w:t>
      </w:r>
      <w:r w:rsidRPr="00B824BB">
        <w:rPr>
          <w:rFonts w:ascii="Calibri" w:eastAsia="Titillium Web" w:hAnsi="Calibri" w:cs="Calibri"/>
          <w:sz w:val="20"/>
          <w:szCs w:val="20"/>
        </w:rPr>
        <w:t>as part of its commitment to bringing health and hygiene to Filipinos acro</w:t>
      </w:r>
      <w:r w:rsidRPr="00B824BB">
        <w:rPr>
          <w:rFonts w:ascii="Calibri" w:eastAsia="Titillium Web" w:hAnsi="Calibri" w:cs="Calibri"/>
          <w:sz w:val="20"/>
          <w:szCs w:val="20"/>
        </w:rPr>
        <w:t>ss the country</w:t>
      </w:r>
      <w:r w:rsidR="00B420D0" w:rsidRPr="00B824BB">
        <w:rPr>
          <w:rFonts w:ascii="Calibri" w:eastAsia="Titillium Web" w:hAnsi="Calibri" w:cs="Calibri"/>
          <w:sz w:val="20"/>
          <w:szCs w:val="20"/>
        </w:rPr>
        <w:t>.</w:t>
      </w:r>
    </w:p>
    <w:p w14:paraId="46EC86FC" w14:textId="77777777" w:rsidR="005479EC" w:rsidRPr="00B824BB" w:rsidRDefault="005479EC">
      <w:pPr>
        <w:spacing w:line="240" w:lineRule="auto"/>
        <w:jc w:val="both"/>
        <w:rPr>
          <w:rFonts w:ascii="Calibri" w:eastAsia="Titillium Web" w:hAnsi="Calibri" w:cs="Calibri"/>
          <w:sz w:val="20"/>
          <w:szCs w:val="20"/>
          <w:highlight w:val="yellow"/>
        </w:rPr>
      </w:pPr>
    </w:p>
    <w:p w14:paraId="7B0346BD" w14:textId="24E9D57F" w:rsidR="005479EC" w:rsidRPr="00B824BB" w:rsidRDefault="009D27A3">
      <w:pPr>
        <w:spacing w:line="240" w:lineRule="auto"/>
        <w:jc w:val="both"/>
        <w:rPr>
          <w:rFonts w:ascii="Calibri" w:eastAsia="Titillium Web" w:hAnsi="Calibri" w:cs="Calibri"/>
          <w:sz w:val="20"/>
          <w:szCs w:val="20"/>
        </w:rPr>
      </w:pPr>
      <w:r w:rsidRPr="00B824BB">
        <w:rPr>
          <w:rFonts w:ascii="Calibri" w:eastAsia="Titillium Web" w:hAnsi="Calibri" w:cs="Calibri"/>
          <w:sz w:val="20"/>
          <w:szCs w:val="20"/>
        </w:rPr>
        <w:t xml:space="preserve">Global Handwashing Day is celebrated every year, on October 15, which aims to promote the importance of proper handwashing with soap as an easy and effective way to prevent the spread of germs and </w:t>
      </w:r>
      <w:r w:rsidR="007B5F55" w:rsidRPr="00B824BB">
        <w:rPr>
          <w:rFonts w:ascii="Calibri" w:eastAsia="Titillium Web" w:hAnsi="Calibri" w:cs="Calibri"/>
          <w:sz w:val="20"/>
          <w:szCs w:val="20"/>
        </w:rPr>
        <w:t>keep</w:t>
      </w:r>
      <w:r w:rsidRPr="00B824BB">
        <w:rPr>
          <w:rFonts w:ascii="Calibri" w:eastAsia="Titillium Web" w:hAnsi="Calibri" w:cs="Calibri"/>
          <w:sz w:val="20"/>
          <w:szCs w:val="20"/>
        </w:rPr>
        <w:t xml:space="preserve"> communities safe from diseases. </w:t>
      </w:r>
    </w:p>
    <w:p w14:paraId="40A85FCE" w14:textId="77777777" w:rsidR="003A26A7" w:rsidRPr="00B824BB" w:rsidRDefault="003A26A7">
      <w:pPr>
        <w:spacing w:line="240" w:lineRule="auto"/>
        <w:jc w:val="both"/>
        <w:rPr>
          <w:rFonts w:ascii="Calibri" w:eastAsia="Titillium Web" w:hAnsi="Calibri" w:cs="Calibri"/>
          <w:sz w:val="20"/>
          <w:szCs w:val="20"/>
        </w:rPr>
      </w:pPr>
    </w:p>
    <w:p w14:paraId="52E22F62" w14:textId="066913D0" w:rsidR="005479EC" w:rsidRPr="00B824BB" w:rsidRDefault="009D27A3">
      <w:pPr>
        <w:spacing w:line="240" w:lineRule="auto"/>
        <w:jc w:val="both"/>
        <w:rPr>
          <w:rFonts w:ascii="Calibri" w:eastAsia="Titillium Web" w:hAnsi="Calibri" w:cs="Calibri"/>
          <w:sz w:val="20"/>
          <w:szCs w:val="20"/>
        </w:rPr>
      </w:pPr>
      <w:r w:rsidRPr="00B824BB">
        <w:rPr>
          <w:rFonts w:ascii="Calibri" w:eastAsia="Titillium Web" w:hAnsi="Calibri" w:cs="Calibri"/>
          <w:sz w:val="20"/>
          <w:szCs w:val="20"/>
        </w:rPr>
        <w:t xml:space="preserve">This initiative is part of P&amp;G's #SafeWASH program in collaboration with Manila Water Foundation, </w:t>
      </w:r>
      <w:r w:rsidR="007B5F55" w:rsidRPr="00B824BB">
        <w:rPr>
          <w:rFonts w:ascii="Calibri" w:eastAsia="Titillium Web" w:hAnsi="Calibri" w:cs="Calibri"/>
          <w:sz w:val="20"/>
          <w:szCs w:val="20"/>
        </w:rPr>
        <w:t>which aims to strengthen efforts to promote the importance of proper handwashing with soap and water in schools</w:t>
      </w:r>
      <w:r w:rsidRPr="00B824BB">
        <w:rPr>
          <w:rFonts w:ascii="Calibri" w:eastAsia="Titillium Web" w:hAnsi="Calibri" w:cs="Calibri"/>
          <w:sz w:val="20"/>
          <w:szCs w:val="20"/>
        </w:rPr>
        <w:t>. The project underscores the significance of W</w:t>
      </w:r>
      <w:r w:rsidRPr="00B824BB">
        <w:rPr>
          <w:rFonts w:ascii="Calibri" w:eastAsia="Titillium Web" w:hAnsi="Calibri" w:cs="Calibri"/>
          <w:sz w:val="20"/>
          <w:szCs w:val="20"/>
        </w:rPr>
        <w:t>ASH (water, sanitation, and hygiene) in schools, a commitment at the core of the joint project between the two organizations</w:t>
      </w:r>
      <w:r w:rsidR="007B5F55" w:rsidRPr="00B824BB">
        <w:rPr>
          <w:rFonts w:ascii="Calibri" w:eastAsia="Titillium Web" w:hAnsi="Calibri" w:cs="Calibri"/>
          <w:sz w:val="20"/>
          <w:szCs w:val="20"/>
        </w:rPr>
        <w:t>.</w:t>
      </w:r>
      <w:r w:rsidRPr="00B824BB">
        <w:rPr>
          <w:rFonts w:ascii="Calibri" w:eastAsia="Titillium Web" w:hAnsi="Calibri" w:cs="Calibri"/>
          <w:sz w:val="20"/>
          <w:szCs w:val="20"/>
        </w:rPr>
        <w:t xml:space="preserve"> The eco-friendly handwashing stations will be constructed in partnership with Green </w:t>
      </w:r>
      <w:proofErr w:type="spellStart"/>
      <w:r w:rsidRPr="00B824BB">
        <w:rPr>
          <w:rFonts w:ascii="Calibri" w:eastAsia="Titillium Web" w:hAnsi="Calibri" w:cs="Calibri"/>
          <w:sz w:val="20"/>
          <w:szCs w:val="20"/>
        </w:rPr>
        <w:t>Antz</w:t>
      </w:r>
      <w:proofErr w:type="spellEnd"/>
      <w:r w:rsidRPr="00B824BB">
        <w:rPr>
          <w:rFonts w:ascii="Calibri" w:eastAsia="Titillium Web" w:hAnsi="Calibri" w:cs="Calibri"/>
          <w:sz w:val="20"/>
          <w:szCs w:val="20"/>
        </w:rPr>
        <w:t xml:space="preserve"> Builders</w:t>
      </w:r>
      <w:r w:rsidR="00913467" w:rsidRPr="00B824BB">
        <w:rPr>
          <w:rFonts w:ascii="Calibri" w:eastAsia="Titillium Web" w:hAnsi="Calibri" w:cs="Calibri"/>
          <w:sz w:val="20"/>
          <w:szCs w:val="20"/>
        </w:rPr>
        <w:t xml:space="preserve"> </w:t>
      </w:r>
      <w:r w:rsidRPr="00B824BB">
        <w:rPr>
          <w:rFonts w:ascii="Calibri" w:eastAsia="Titillium Web" w:hAnsi="Calibri" w:cs="Calibri"/>
          <w:sz w:val="20"/>
          <w:szCs w:val="20"/>
        </w:rPr>
        <w:t>u</w:t>
      </w:r>
      <w:r w:rsidR="00913467" w:rsidRPr="00B824BB">
        <w:rPr>
          <w:rFonts w:ascii="Calibri" w:eastAsia="Titillium Web" w:hAnsi="Calibri" w:cs="Calibri"/>
          <w:sz w:val="20"/>
          <w:szCs w:val="20"/>
        </w:rPr>
        <w:t>sing</w:t>
      </w:r>
      <w:r w:rsidRPr="00B824BB">
        <w:rPr>
          <w:rFonts w:ascii="Calibri" w:eastAsia="Titillium Web" w:hAnsi="Calibri" w:cs="Calibri"/>
          <w:sz w:val="20"/>
          <w:szCs w:val="20"/>
        </w:rPr>
        <w:t xml:space="preserve"> eco-bricks, which are made</w:t>
      </w:r>
      <w:r w:rsidRPr="00B824BB">
        <w:rPr>
          <w:rFonts w:ascii="Calibri" w:eastAsia="Titillium Web" w:hAnsi="Calibri" w:cs="Calibri"/>
          <w:sz w:val="20"/>
          <w:szCs w:val="20"/>
        </w:rPr>
        <w:t xml:space="preserve"> by turning plastic waste into durable building blocks. </w:t>
      </w:r>
    </w:p>
    <w:p w14:paraId="4A409FF6" w14:textId="77777777" w:rsidR="005479EC" w:rsidRPr="00B824BB" w:rsidRDefault="005479EC">
      <w:pPr>
        <w:spacing w:line="240" w:lineRule="auto"/>
        <w:jc w:val="both"/>
        <w:rPr>
          <w:rFonts w:ascii="Calibri" w:eastAsia="Titillium Web" w:hAnsi="Calibri" w:cs="Calibri"/>
          <w:sz w:val="20"/>
          <w:szCs w:val="20"/>
        </w:rPr>
      </w:pPr>
    </w:p>
    <w:p w14:paraId="2C4586A5" w14:textId="4B869D71" w:rsidR="005479EC" w:rsidRPr="00B824BB" w:rsidRDefault="009D27A3">
      <w:pPr>
        <w:spacing w:line="240" w:lineRule="auto"/>
        <w:jc w:val="both"/>
        <w:rPr>
          <w:rFonts w:ascii="Calibri" w:eastAsia="Titillium Web" w:hAnsi="Calibri" w:cs="Calibri"/>
          <w:sz w:val="20"/>
          <w:szCs w:val="20"/>
        </w:rPr>
      </w:pPr>
      <w:r w:rsidRPr="00B824BB">
        <w:rPr>
          <w:rFonts w:ascii="Calibri" w:eastAsia="Titillium Web" w:hAnsi="Calibri" w:cs="Calibri"/>
          <w:sz w:val="20"/>
          <w:szCs w:val="20"/>
        </w:rPr>
        <w:t xml:space="preserve">“These eco-friendly handwashing stations will promote </w:t>
      </w:r>
      <w:r w:rsidR="001F0EB2" w:rsidRPr="00B824BB">
        <w:rPr>
          <w:rFonts w:ascii="Calibri" w:eastAsia="Titillium Web" w:hAnsi="Calibri" w:cs="Calibri"/>
          <w:sz w:val="20"/>
          <w:szCs w:val="20"/>
        </w:rPr>
        <w:t>proper</w:t>
      </w:r>
      <w:r w:rsidRPr="00B824BB">
        <w:rPr>
          <w:rFonts w:ascii="Calibri" w:eastAsia="Titillium Web" w:hAnsi="Calibri" w:cs="Calibri"/>
          <w:sz w:val="20"/>
          <w:szCs w:val="20"/>
        </w:rPr>
        <w:t xml:space="preserve"> WASH habits that will </w:t>
      </w:r>
      <w:r w:rsidR="006B1BEE" w:rsidRPr="00B824BB">
        <w:rPr>
          <w:rFonts w:ascii="Calibri" w:eastAsia="Titillium Web" w:hAnsi="Calibri" w:cs="Calibri"/>
          <w:sz w:val="20"/>
          <w:szCs w:val="20"/>
        </w:rPr>
        <w:t xml:space="preserve">help </w:t>
      </w:r>
      <w:r w:rsidRPr="00B824BB">
        <w:rPr>
          <w:rFonts w:ascii="Calibri" w:eastAsia="Titillium Web" w:hAnsi="Calibri" w:cs="Calibri"/>
          <w:sz w:val="20"/>
          <w:szCs w:val="20"/>
        </w:rPr>
        <w:t>protect students and teachers from disease-causing bacteria and viruses while also championing sustainability,</w:t>
      </w:r>
      <w:r w:rsidRPr="00B824BB">
        <w:rPr>
          <w:rFonts w:ascii="Calibri" w:eastAsia="Titillium Web" w:hAnsi="Calibri" w:cs="Calibri"/>
          <w:sz w:val="20"/>
          <w:szCs w:val="20"/>
        </w:rPr>
        <w:t xml:space="preserve"> says </w:t>
      </w:r>
      <w:r w:rsidR="0084543C" w:rsidRPr="00B824BB">
        <w:rPr>
          <w:rFonts w:ascii="Calibri" w:eastAsia="Titillium Web" w:hAnsi="Calibri" w:cs="Calibri"/>
          <w:sz w:val="20"/>
          <w:szCs w:val="20"/>
        </w:rPr>
        <w:t>King Martin Agoncillo</w:t>
      </w:r>
      <w:r w:rsidRPr="00B824BB">
        <w:rPr>
          <w:rFonts w:ascii="Calibri" w:eastAsia="Titillium Web" w:hAnsi="Calibri" w:cs="Calibri"/>
          <w:sz w:val="20"/>
          <w:szCs w:val="20"/>
        </w:rPr>
        <w:t xml:space="preserve">, </w:t>
      </w:r>
      <w:r w:rsidR="0084543C" w:rsidRPr="00B824BB">
        <w:rPr>
          <w:rFonts w:ascii="Calibri" w:eastAsia="Titillium Web" w:hAnsi="Calibri" w:cs="Calibri"/>
          <w:sz w:val="20"/>
          <w:szCs w:val="20"/>
        </w:rPr>
        <w:t xml:space="preserve">Corporate </w:t>
      </w:r>
      <w:r w:rsidRPr="00B824BB">
        <w:rPr>
          <w:rFonts w:ascii="Calibri" w:eastAsia="Titillium Web" w:hAnsi="Calibri" w:cs="Calibri"/>
          <w:sz w:val="20"/>
          <w:szCs w:val="20"/>
        </w:rPr>
        <w:t xml:space="preserve">Communications </w:t>
      </w:r>
      <w:r w:rsidR="0084543C" w:rsidRPr="00B824BB">
        <w:rPr>
          <w:rFonts w:ascii="Calibri" w:eastAsia="Titillium Web" w:hAnsi="Calibri" w:cs="Calibri"/>
          <w:sz w:val="20"/>
          <w:szCs w:val="20"/>
        </w:rPr>
        <w:t>Manager</w:t>
      </w:r>
      <w:r w:rsidRPr="00B824BB">
        <w:rPr>
          <w:rFonts w:ascii="Calibri" w:eastAsia="Titillium Web" w:hAnsi="Calibri" w:cs="Calibri"/>
          <w:sz w:val="20"/>
          <w:szCs w:val="20"/>
        </w:rPr>
        <w:t xml:space="preserve"> at P&amp;G Philippines. </w:t>
      </w:r>
    </w:p>
    <w:p w14:paraId="1387207E" w14:textId="77777777" w:rsidR="006B1BEE" w:rsidRPr="00B824BB" w:rsidRDefault="006B1BEE">
      <w:pPr>
        <w:spacing w:line="240" w:lineRule="auto"/>
        <w:jc w:val="both"/>
        <w:rPr>
          <w:rFonts w:ascii="Calibri" w:eastAsia="Titillium Web" w:hAnsi="Calibri" w:cs="Calibri"/>
          <w:sz w:val="20"/>
          <w:szCs w:val="20"/>
        </w:rPr>
      </w:pPr>
    </w:p>
    <w:p w14:paraId="39559D7F" w14:textId="5493DF53" w:rsidR="005479EC" w:rsidRPr="00B824BB" w:rsidRDefault="004C77E1" w:rsidP="004C77E1">
      <w:pPr>
        <w:spacing w:line="240" w:lineRule="auto"/>
        <w:jc w:val="center"/>
        <w:rPr>
          <w:rFonts w:ascii="Calibri" w:eastAsia="Titillium Web" w:hAnsi="Calibri" w:cs="Calibri"/>
          <w:sz w:val="20"/>
          <w:szCs w:val="20"/>
        </w:rPr>
      </w:pPr>
      <w:r w:rsidRPr="00B824BB">
        <w:rPr>
          <w:rFonts w:ascii="Calibri" w:hAnsi="Calibri" w:cs="Calibri"/>
          <w:noProof/>
          <w:lang w:val="en-US"/>
        </w:rPr>
        <w:drawing>
          <wp:inline distT="0" distB="0" distL="0" distR="0" wp14:anchorId="2BFAF76A" wp14:editId="119CFB45">
            <wp:extent cx="4605547" cy="34544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7929" cy="3456187"/>
                    </a:xfrm>
                    <a:prstGeom prst="rect">
                      <a:avLst/>
                    </a:prstGeom>
                    <a:noFill/>
                    <a:ln>
                      <a:noFill/>
                    </a:ln>
                  </pic:spPr>
                </pic:pic>
              </a:graphicData>
            </a:graphic>
          </wp:inline>
        </w:drawing>
      </w:r>
    </w:p>
    <w:p w14:paraId="2CD25175" w14:textId="2457CDBA" w:rsidR="004C77E1" w:rsidRPr="00B824BB" w:rsidRDefault="004C77E1" w:rsidP="004C77E1">
      <w:pPr>
        <w:jc w:val="center"/>
        <w:rPr>
          <w:rFonts w:ascii="Calibri" w:eastAsia="Open Sans" w:hAnsi="Calibri" w:cs="Calibri"/>
          <w:i/>
          <w:sz w:val="16"/>
          <w:szCs w:val="16"/>
        </w:rPr>
      </w:pPr>
      <w:r w:rsidRPr="00B824BB">
        <w:rPr>
          <w:rFonts w:ascii="Calibri" w:eastAsia="Open Sans" w:hAnsi="Calibri" w:cs="Calibri"/>
          <w:i/>
          <w:sz w:val="16"/>
          <w:szCs w:val="16"/>
        </w:rPr>
        <w:t xml:space="preserve">Sample eco-bricks that will be used to construct the 19 eco-friendly handwashing stations. </w:t>
      </w:r>
    </w:p>
    <w:p w14:paraId="47EB66C4" w14:textId="77777777" w:rsidR="004C77E1" w:rsidRPr="00B824BB" w:rsidRDefault="004C77E1" w:rsidP="004C77E1">
      <w:pPr>
        <w:spacing w:line="240" w:lineRule="auto"/>
        <w:jc w:val="center"/>
        <w:rPr>
          <w:rFonts w:ascii="Calibri" w:eastAsia="Titillium Web" w:hAnsi="Calibri" w:cs="Calibri"/>
          <w:sz w:val="20"/>
          <w:szCs w:val="20"/>
        </w:rPr>
      </w:pPr>
    </w:p>
    <w:p w14:paraId="27972FCB" w14:textId="127182D8" w:rsidR="008B68EF" w:rsidRPr="00B824BB" w:rsidRDefault="002F666A">
      <w:pPr>
        <w:spacing w:line="240" w:lineRule="auto"/>
        <w:jc w:val="both"/>
        <w:rPr>
          <w:rFonts w:ascii="Calibri" w:hAnsi="Calibri" w:cs="Calibri"/>
          <w:color w:val="000000"/>
          <w:sz w:val="20"/>
          <w:szCs w:val="20"/>
        </w:rPr>
      </w:pPr>
      <w:r w:rsidRPr="00B824BB">
        <w:rPr>
          <w:rFonts w:ascii="Calibri" w:hAnsi="Calibri" w:cs="Calibri"/>
          <w:color w:val="000000"/>
          <w:sz w:val="20"/>
          <w:szCs w:val="20"/>
        </w:rPr>
        <w:t xml:space="preserve">In another </w:t>
      </w:r>
      <w:r w:rsidR="005B6C83" w:rsidRPr="00B824BB">
        <w:rPr>
          <w:rFonts w:ascii="Calibri" w:hAnsi="Calibri" w:cs="Calibri"/>
          <w:color w:val="000000"/>
          <w:sz w:val="20"/>
          <w:szCs w:val="20"/>
        </w:rPr>
        <w:t>Global Handwashing Day</w:t>
      </w:r>
      <w:r w:rsidRPr="00B824BB">
        <w:rPr>
          <w:rFonts w:ascii="Calibri" w:hAnsi="Calibri" w:cs="Calibri"/>
          <w:color w:val="000000"/>
          <w:sz w:val="20"/>
          <w:szCs w:val="20"/>
        </w:rPr>
        <w:t xml:space="preserve"> Celebration</w:t>
      </w:r>
      <w:r w:rsidR="005B6C83" w:rsidRPr="00B824BB">
        <w:rPr>
          <w:rFonts w:ascii="Calibri" w:hAnsi="Calibri" w:cs="Calibri"/>
          <w:color w:val="000000"/>
          <w:sz w:val="20"/>
          <w:szCs w:val="20"/>
        </w:rPr>
        <w:t>, P&amp;G supported Pasig LGU’s "</w:t>
      </w:r>
      <w:proofErr w:type="spellStart"/>
      <w:r w:rsidR="005B6C83" w:rsidRPr="00B824BB">
        <w:rPr>
          <w:rFonts w:ascii="Calibri" w:hAnsi="Calibri" w:cs="Calibri"/>
          <w:color w:val="000000"/>
          <w:sz w:val="20"/>
          <w:szCs w:val="20"/>
        </w:rPr>
        <w:t>Apir</w:t>
      </w:r>
      <w:proofErr w:type="spellEnd"/>
      <w:r w:rsidR="005B6C83" w:rsidRPr="00B824BB">
        <w:rPr>
          <w:rFonts w:ascii="Calibri" w:hAnsi="Calibri" w:cs="Calibri"/>
          <w:color w:val="000000"/>
          <w:sz w:val="20"/>
          <w:szCs w:val="20"/>
        </w:rPr>
        <w:t xml:space="preserve"> </w:t>
      </w:r>
      <w:proofErr w:type="spellStart"/>
      <w:r w:rsidR="005B6C83" w:rsidRPr="00B824BB">
        <w:rPr>
          <w:rFonts w:ascii="Calibri" w:hAnsi="Calibri" w:cs="Calibri"/>
          <w:color w:val="000000"/>
          <w:sz w:val="20"/>
          <w:szCs w:val="20"/>
        </w:rPr>
        <w:t>Tayo</w:t>
      </w:r>
      <w:proofErr w:type="spellEnd"/>
      <w:r w:rsidR="005B6C83" w:rsidRPr="00B824BB">
        <w:rPr>
          <w:rFonts w:ascii="Calibri" w:hAnsi="Calibri" w:cs="Calibri"/>
          <w:color w:val="000000"/>
          <w:sz w:val="20"/>
          <w:szCs w:val="20"/>
        </w:rPr>
        <w:t xml:space="preserve">, </w:t>
      </w:r>
      <w:proofErr w:type="spellStart"/>
      <w:r w:rsidR="005B6C83" w:rsidRPr="00B824BB">
        <w:rPr>
          <w:rFonts w:ascii="Calibri" w:hAnsi="Calibri" w:cs="Calibri"/>
          <w:color w:val="000000"/>
          <w:sz w:val="20"/>
          <w:szCs w:val="20"/>
        </w:rPr>
        <w:t>Pasigueno</w:t>
      </w:r>
      <w:proofErr w:type="spellEnd"/>
      <w:r w:rsidR="005B6C83" w:rsidRPr="00B824BB">
        <w:rPr>
          <w:rFonts w:ascii="Calibri" w:hAnsi="Calibri" w:cs="Calibri"/>
          <w:color w:val="000000"/>
          <w:sz w:val="20"/>
          <w:szCs w:val="20"/>
        </w:rPr>
        <w:t xml:space="preserve">! Global Handwashing Day Fair 2023" in partnership with Manila Water Foundation, benefitting over 1,000 </w:t>
      </w:r>
      <w:proofErr w:type="spellStart"/>
      <w:r w:rsidR="005B6C83" w:rsidRPr="00B824BB">
        <w:rPr>
          <w:rFonts w:ascii="Calibri" w:hAnsi="Calibri" w:cs="Calibri"/>
          <w:color w:val="000000"/>
          <w:sz w:val="20"/>
          <w:szCs w:val="20"/>
        </w:rPr>
        <w:t>Pasiguenos</w:t>
      </w:r>
      <w:proofErr w:type="spellEnd"/>
      <w:r w:rsidR="005B6C83" w:rsidRPr="00B824BB">
        <w:rPr>
          <w:rFonts w:ascii="Calibri" w:hAnsi="Calibri" w:cs="Calibri"/>
          <w:color w:val="000000"/>
          <w:sz w:val="20"/>
          <w:szCs w:val="20"/>
        </w:rPr>
        <w:t>, including PWDs, 4Ps beneficiaries, Muslim market vendors, enforcers, and health workers.</w:t>
      </w:r>
    </w:p>
    <w:p w14:paraId="522019D2" w14:textId="77777777" w:rsidR="005B6C83" w:rsidRPr="00B824BB" w:rsidRDefault="005B6C83">
      <w:pPr>
        <w:spacing w:line="240" w:lineRule="auto"/>
        <w:jc w:val="both"/>
        <w:rPr>
          <w:rFonts w:ascii="Calibri" w:eastAsia="Titillium Web" w:hAnsi="Calibri" w:cs="Calibri"/>
          <w:sz w:val="20"/>
          <w:szCs w:val="20"/>
        </w:rPr>
      </w:pPr>
    </w:p>
    <w:p w14:paraId="54CA4BC0" w14:textId="70E1F594" w:rsidR="005479EC" w:rsidRPr="00B824BB" w:rsidRDefault="009D27A3">
      <w:pPr>
        <w:spacing w:line="240" w:lineRule="auto"/>
        <w:jc w:val="both"/>
        <w:rPr>
          <w:rFonts w:ascii="Calibri" w:eastAsia="Titillium Web" w:hAnsi="Calibri" w:cs="Calibri"/>
          <w:sz w:val="20"/>
          <w:szCs w:val="20"/>
        </w:rPr>
      </w:pPr>
      <w:r w:rsidRPr="00B824BB">
        <w:rPr>
          <w:rFonts w:ascii="Calibri" w:eastAsia="Titillium Web" w:hAnsi="Calibri" w:cs="Calibri"/>
          <w:sz w:val="20"/>
          <w:szCs w:val="20"/>
        </w:rPr>
        <w:t>P&amp;G has been a consistent part</w:t>
      </w:r>
      <w:r w:rsidRPr="00B824BB">
        <w:rPr>
          <w:rFonts w:ascii="Calibri" w:eastAsia="Titillium Web" w:hAnsi="Calibri" w:cs="Calibri"/>
          <w:sz w:val="20"/>
          <w:szCs w:val="20"/>
        </w:rPr>
        <w:t xml:space="preserve">ner of MWF </w:t>
      </w:r>
      <w:r w:rsidR="00073474" w:rsidRPr="00B824BB">
        <w:rPr>
          <w:rFonts w:ascii="Calibri" w:eastAsia="Titillium Web" w:hAnsi="Calibri" w:cs="Calibri"/>
          <w:sz w:val="20"/>
          <w:szCs w:val="20"/>
        </w:rPr>
        <w:t xml:space="preserve">since 2020 </w:t>
      </w:r>
      <w:r w:rsidRPr="00B824BB">
        <w:rPr>
          <w:rFonts w:ascii="Calibri" w:eastAsia="Titillium Web" w:hAnsi="Calibri" w:cs="Calibri"/>
          <w:sz w:val="20"/>
          <w:szCs w:val="20"/>
        </w:rPr>
        <w:t>in providing students with quality handwashing facilities</w:t>
      </w:r>
      <w:r w:rsidR="001C34C1" w:rsidRPr="00B824BB">
        <w:rPr>
          <w:rFonts w:ascii="Calibri" w:eastAsia="Titillium Web" w:hAnsi="Calibri" w:cs="Calibri"/>
          <w:sz w:val="20"/>
          <w:szCs w:val="20"/>
        </w:rPr>
        <w:t>;</w:t>
      </w:r>
      <w:r w:rsidRPr="00B824BB">
        <w:rPr>
          <w:rFonts w:ascii="Calibri" w:eastAsia="Titillium Web" w:hAnsi="Calibri" w:cs="Calibri"/>
          <w:sz w:val="20"/>
          <w:szCs w:val="20"/>
        </w:rPr>
        <w:t xml:space="preserve"> promoting health and hygiene through good handwashing practices. The partnership has since constructed 285 handwashing stations, reaching over 1 million students, teachers</w:t>
      </w:r>
      <w:r w:rsidR="004C77E1" w:rsidRPr="00B824BB">
        <w:rPr>
          <w:rFonts w:ascii="Calibri" w:eastAsia="Titillium Web" w:hAnsi="Calibri" w:cs="Calibri"/>
          <w:sz w:val="20"/>
          <w:szCs w:val="20"/>
        </w:rPr>
        <w:t>,</w:t>
      </w:r>
      <w:r w:rsidRPr="00B824BB">
        <w:rPr>
          <w:rFonts w:ascii="Calibri" w:eastAsia="Titillium Web" w:hAnsi="Calibri" w:cs="Calibri"/>
          <w:sz w:val="20"/>
          <w:szCs w:val="20"/>
        </w:rPr>
        <w:t xml:space="preserve"> an</w:t>
      </w:r>
      <w:r w:rsidRPr="00B824BB">
        <w:rPr>
          <w:rFonts w:ascii="Calibri" w:eastAsia="Titillium Web" w:hAnsi="Calibri" w:cs="Calibri"/>
          <w:sz w:val="20"/>
          <w:szCs w:val="20"/>
        </w:rPr>
        <w:t xml:space="preserve">d </w:t>
      </w:r>
      <w:r w:rsidR="004C77E1" w:rsidRPr="00B824BB">
        <w:rPr>
          <w:rFonts w:ascii="Calibri" w:eastAsia="Titillium Web" w:hAnsi="Calibri" w:cs="Calibri"/>
          <w:sz w:val="20"/>
          <w:szCs w:val="20"/>
        </w:rPr>
        <w:t xml:space="preserve">other </w:t>
      </w:r>
      <w:r w:rsidRPr="00B824BB">
        <w:rPr>
          <w:rFonts w:ascii="Calibri" w:eastAsia="Titillium Web" w:hAnsi="Calibri" w:cs="Calibri"/>
          <w:sz w:val="20"/>
          <w:szCs w:val="20"/>
        </w:rPr>
        <w:t>school staff</w:t>
      </w:r>
      <w:r w:rsidR="004C77E1" w:rsidRPr="00B824BB">
        <w:rPr>
          <w:rFonts w:ascii="Calibri" w:eastAsia="Titillium Web" w:hAnsi="Calibri" w:cs="Calibri"/>
          <w:sz w:val="20"/>
          <w:szCs w:val="20"/>
        </w:rPr>
        <w:t xml:space="preserve"> </w:t>
      </w:r>
      <w:r w:rsidRPr="00B824BB">
        <w:rPr>
          <w:rFonts w:ascii="Calibri" w:eastAsia="Titillium Web" w:hAnsi="Calibri" w:cs="Calibri"/>
          <w:sz w:val="20"/>
          <w:szCs w:val="20"/>
        </w:rPr>
        <w:t xml:space="preserve">in over 285 schools in Metro Manila. </w:t>
      </w:r>
    </w:p>
    <w:p w14:paraId="6FC8E003" w14:textId="77777777" w:rsidR="005479EC" w:rsidRPr="00B824BB" w:rsidRDefault="009D27A3" w:rsidP="00606634">
      <w:pPr>
        <w:shd w:val="clear" w:color="auto" w:fill="FFFFFF"/>
        <w:spacing w:before="240"/>
        <w:jc w:val="center"/>
        <w:rPr>
          <w:rFonts w:ascii="Calibri" w:eastAsia="Open Sans" w:hAnsi="Calibri" w:cs="Calibri"/>
          <w:sz w:val="20"/>
          <w:szCs w:val="20"/>
        </w:rPr>
      </w:pPr>
      <w:bookmarkStart w:id="0" w:name="_GoBack"/>
      <w:bookmarkEnd w:id="0"/>
      <w:r w:rsidRPr="00B824BB">
        <w:rPr>
          <w:rFonts w:ascii="Calibri" w:eastAsia="Open Sans" w:hAnsi="Calibri" w:cs="Calibri"/>
          <w:sz w:val="20"/>
          <w:szCs w:val="20"/>
        </w:rPr>
        <w:t xml:space="preserve">### </w:t>
      </w:r>
    </w:p>
    <w:p w14:paraId="1BC3A86F" w14:textId="77777777" w:rsidR="005479EC" w:rsidRPr="00B824BB" w:rsidRDefault="009D27A3">
      <w:pPr>
        <w:tabs>
          <w:tab w:val="left" w:pos="2520"/>
        </w:tabs>
        <w:jc w:val="both"/>
        <w:rPr>
          <w:rFonts w:ascii="Calibri" w:eastAsia="Open Sans" w:hAnsi="Calibri" w:cs="Calibri"/>
          <w:b/>
          <w:sz w:val="16"/>
          <w:szCs w:val="16"/>
          <w:u w:val="single"/>
        </w:rPr>
      </w:pPr>
      <w:r w:rsidRPr="00B824BB">
        <w:rPr>
          <w:rFonts w:ascii="Calibri" w:eastAsia="Open Sans" w:hAnsi="Calibri" w:cs="Calibri"/>
          <w:b/>
          <w:sz w:val="16"/>
          <w:szCs w:val="16"/>
          <w:u w:val="single"/>
        </w:rPr>
        <w:t>About Procter &amp; Gamble</w:t>
      </w:r>
    </w:p>
    <w:p w14:paraId="3C216046" w14:textId="77777777" w:rsidR="005479EC" w:rsidRPr="00B824BB" w:rsidRDefault="009D27A3">
      <w:pPr>
        <w:tabs>
          <w:tab w:val="left" w:pos="2520"/>
        </w:tabs>
        <w:jc w:val="both"/>
        <w:rPr>
          <w:rFonts w:ascii="Calibri" w:eastAsia="Open Sans" w:hAnsi="Calibri" w:cs="Calibri"/>
          <w:sz w:val="16"/>
          <w:szCs w:val="16"/>
        </w:rPr>
      </w:pPr>
      <w:r w:rsidRPr="00B824BB">
        <w:rPr>
          <w:rFonts w:ascii="Calibri" w:eastAsia="Open Sans" w:hAnsi="Calibri" w:cs="Calibri"/>
          <w:sz w:val="16"/>
          <w:szCs w:val="16"/>
        </w:rPr>
        <w:t>P&amp;</w:t>
      </w:r>
      <w:r w:rsidRPr="00B824BB">
        <w:rPr>
          <w:rFonts w:ascii="Calibri" w:eastAsia="Open Sans" w:hAnsi="Calibri" w:cs="Calibri"/>
          <w:sz w:val="16"/>
          <w:szCs w:val="16"/>
        </w:rPr>
        <w:t>G serves consumers around the world with one of the strongest portfolios of trusted, quality, leadership brands. Fostering equality and inclusion, supporting our communities and protecting the planet are embedded in how we do business. We believe we have a</w:t>
      </w:r>
      <w:r w:rsidRPr="00B824BB">
        <w:rPr>
          <w:rFonts w:ascii="Calibri" w:eastAsia="Open Sans" w:hAnsi="Calibri" w:cs="Calibri"/>
          <w:sz w:val="16"/>
          <w:szCs w:val="16"/>
        </w:rPr>
        <w:t xml:space="preserve"> responsibility to make the world better — through the products we create and the positive impact our brands and Company can have. P&amp;G’s portfolio includes Always®, </w:t>
      </w:r>
      <w:proofErr w:type="spellStart"/>
      <w:r w:rsidRPr="00B824BB">
        <w:rPr>
          <w:rFonts w:ascii="Calibri" w:eastAsia="Open Sans" w:hAnsi="Calibri" w:cs="Calibri"/>
          <w:sz w:val="16"/>
          <w:szCs w:val="16"/>
        </w:rPr>
        <w:t>Ambi</w:t>
      </w:r>
      <w:proofErr w:type="spellEnd"/>
      <w:r w:rsidRPr="00B824BB">
        <w:rPr>
          <w:rFonts w:ascii="Calibri" w:eastAsia="Open Sans" w:hAnsi="Calibri" w:cs="Calibri"/>
          <w:sz w:val="16"/>
          <w:szCs w:val="16"/>
        </w:rPr>
        <w:t xml:space="preserve"> </w:t>
      </w:r>
      <w:proofErr w:type="spellStart"/>
      <w:r w:rsidRPr="00B824BB">
        <w:rPr>
          <w:rFonts w:ascii="Calibri" w:eastAsia="Open Sans" w:hAnsi="Calibri" w:cs="Calibri"/>
          <w:sz w:val="16"/>
          <w:szCs w:val="16"/>
        </w:rPr>
        <w:t>Pur</w:t>
      </w:r>
      <w:proofErr w:type="spellEnd"/>
      <w:r w:rsidRPr="00B824BB">
        <w:rPr>
          <w:rFonts w:ascii="Calibri" w:eastAsia="Open Sans" w:hAnsi="Calibri" w:cs="Calibri"/>
          <w:sz w:val="16"/>
          <w:szCs w:val="16"/>
        </w:rPr>
        <w:t>®, Ariel®, Bounty®, Charmin®, Crest®, Dawn®, Downy®, Fairy®, Febreze®, Gain®, Gille</w:t>
      </w:r>
      <w:r w:rsidRPr="00B824BB">
        <w:rPr>
          <w:rFonts w:ascii="Calibri" w:eastAsia="Open Sans" w:hAnsi="Calibri" w:cs="Calibri"/>
          <w:sz w:val="16"/>
          <w:szCs w:val="16"/>
        </w:rPr>
        <w:t xml:space="preserve">tte®, Head &amp; Shoulders®, </w:t>
      </w:r>
      <w:proofErr w:type="spellStart"/>
      <w:r w:rsidRPr="00B824BB">
        <w:rPr>
          <w:rFonts w:ascii="Calibri" w:eastAsia="Open Sans" w:hAnsi="Calibri" w:cs="Calibri"/>
          <w:sz w:val="16"/>
          <w:szCs w:val="16"/>
        </w:rPr>
        <w:t>Lenor</w:t>
      </w:r>
      <w:proofErr w:type="spellEnd"/>
      <w:r w:rsidRPr="00B824BB">
        <w:rPr>
          <w:rFonts w:ascii="Calibri" w:eastAsia="Open Sans" w:hAnsi="Calibri" w:cs="Calibri"/>
          <w:sz w:val="16"/>
          <w:szCs w:val="16"/>
        </w:rPr>
        <w:t>®, Olay®, Oral-B®, Pampers®, Pantene®, SK-II®, Tide®, Vicks®, and Whisper®. The P&amp;G community includes operations in approximately 70 countries worldwide.</w:t>
      </w:r>
    </w:p>
    <w:p w14:paraId="67772EE0" w14:textId="77777777" w:rsidR="005479EC" w:rsidRPr="00B824BB" w:rsidRDefault="005479EC">
      <w:pPr>
        <w:tabs>
          <w:tab w:val="left" w:pos="2520"/>
        </w:tabs>
        <w:jc w:val="both"/>
        <w:rPr>
          <w:rFonts w:ascii="Calibri" w:eastAsia="Open Sans" w:hAnsi="Calibri" w:cs="Calibri"/>
        </w:rPr>
      </w:pPr>
    </w:p>
    <w:p w14:paraId="624E3239" w14:textId="77777777" w:rsidR="005479EC" w:rsidRPr="00B824BB" w:rsidRDefault="009D27A3">
      <w:pPr>
        <w:tabs>
          <w:tab w:val="left" w:pos="2520"/>
        </w:tabs>
        <w:jc w:val="both"/>
        <w:rPr>
          <w:rFonts w:ascii="Calibri" w:eastAsia="Open Sans" w:hAnsi="Calibri" w:cs="Calibri"/>
          <w:sz w:val="16"/>
          <w:szCs w:val="16"/>
        </w:rPr>
      </w:pPr>
      <w:r w:rsidRPr="00B824BB">
        <w:rPr>
          <w:rFonts w:ascii="Calibri" w:eastAsia="Open Sans" w:hAnsi="Calibri" w:cs="Calibri"/>
          <w:sz w:val="16"/>
          <w:szCs w:val="16"/>
        </w:rPr>
        <w:t>Please visit </w:t>
      </w:r>
      <w:hyperlink r:id="rId9">
        <w:r w:rsidRPr="00B824BB">
          <w:rPr>
            <w:rFonts w:ascii="Calibri" w:eastAsia="Open Sans" w:hAnsi="Calibri" w:cs="Calibri"/>
            <w:color w:val="0000FF"/>
            <w:sz w:val="16"/>
            <w:szCs w:val="16"/>
            <w:u w:val="single"/>
          </w:rPr>
          <w:t>http://www.pg.com</w:t>
        </w:r>
      </w:hyperlink>
      <w:r w:rsidRPr="00B824BB">
        <w:rPr>
          <w:rFonts w:ascii="Calibri" w:eastAsia="Open Sans" w:hAnsi="Calibri" w:cs="Calibri"/>
          <w:sz w:val="16"/>
          <w:szCs w:val="16"/>
        </w:rPr>
        <w:t> for the latest new</w:t>
      </w:r>
      <w:r w:rsidRPr="00B824BB">
        <w:rPr>
          <w:rFonts w:ascii="Calibri" w:eastAsia="Open Sans" w:hAnsi="Calibri" w:cs="Calibri"/>
          <w:sz w:val="16"/>
          <w:szCs w:val="16"/>
        </w:rPr>
        <w:t>s and information about P&amp;G and its brands.</w:t>
      </w:r>
    </w:p>
    <w:p w14:paraId="6CE98F4B" w14:textId="77777777" w:rsidR="005479EC" w:rsidRPr="00B824BB" w:rsidRDefault="005479EC">
      <w:pPr>
        <w:tabs>
          <w:tab w:val="left" w:pos="2520"/>
        </w:tabs>
        <w:jc w:val="both"/>
        <w:rPr>
          <w:rFonts w:ascii="Calibri" w:eastAsia="Open Sans" w:hAnsi="Calibri" w:cs="Calibri"/>
          <w:sz w:val="16"/>
          <w:szCs w:val="16"/>
        </w:rPr>
      </w:pPr>
    </w:p>
    <w:p w14:paraId="572B213D" w14:textId="77777777" w:rsidR="005479EC" w:rsidRPr="00B824BB" w:rsidRDefault="009D27A3">
      <w:pPr>
        <w:tabs>
          <w:tab w:val="left" w:pos="2520"/>
        </w:tabs>
        <w:spacing w:line="240" w:lineRule="auto"/>
        <w:jc w:val="both"/>
        <w:rPr>
          <w:rFonts w:ascii="Calibri" w:hAnsi="Calibri" w:cs="Calibri"/>
          <w:sz w:val="20"/>
          <w:szCs w:val="20"/>
        </w:rPr>
      </w:pPr>
      <w:r w:rsidRPr="00B824BB">
        <w:rPr>
          <w:rFonts w:ascii="Calibri" w:hAnsi="Calibri" w:cs="Calibri"/>
          <w:sz w:val="20"/>
          <w:szCs w:val="20"/>
        </w:rPr>
        <w:t xml:space="preserve">Media Contacts:                                          </w:t>
      </w:r>
      <w:r w:rsidRPr="00B824BB">
        <w:rPr>
          <w:rFonts w:ascii="Calibri" w:hAnsi="Calibri" w:cs="Calibri"/>
          <w:sz w:val="20"/>
          <w:szCs w:val="20"/>
        </w:rPr>
        <w:tab/>
      </w:r>
    </w:p>
    <w:p w14:paraId="2CA6F7B4" w14:textId="77777777" w:rsidR="005479EC" w:rsidRPr="00B824BB" w:rsidRDefault="005479EC">
      <w:pPr>
        <w:tabs>
          <w:tab w:val="left" w:pos="2520"/>
        </w:tabs>
        <w:spacing w:line="240" w:lineRule="auto"/>
        <w:jc w:val="both"/>
        <w:rPr>
          <w:rFonts w:ascii="Calibri" w:hAnsi="Calibri" w:cs="Calibri"/>
          <w:sz w:val="20"/>
          <w:szCs w:val="20"/>
        </w:rPr>
      </w:pPr>
    </w:p>
    <w:p w14:paraId="1C79865D" w14:textId="77777777" w:rsidR="005479EC" w:rsidRPr="00B824BB" w:rsidRDefault="009D27A3">
      <w:pPr>
        <w:tabs>
          <w:tab w:val="left" w:pos="2520"/>
        </w:tabs>
        <w:spacing w:line="240" w:lineRule="auto"/>
        <w:jc w:val="both"/>
        <w:rPr>
          <w:rFonts w:ascii="Calibri" w:hAnsi="Calibri" w:cs="Calibri"/>
          <w:b/>
          <w:sz w:val="20"/>
          <w:szCs w:val="20"/>
        </w:rPr>
      </w:pPr>
      <w:r w:rsidRPr="00B824BB">
        <w:rPr>
          <w:rFonts w:ascii="Calibri" w:hAnsi="Calibri" w:cs="Calibri"/>
          <w:b/>
          <w:sz w:val="20"/>
          <w:szCs w:val="20"/>
        </w:rPr>
        <w:t xml:space="preserve">Procter &amp; Gamble Philippines                                      </w:t>
      </w:r>
      <w:r w:rsidRPr="00B824BB">
        <w:rPr>
          <w:rFonts w:ascii="Calibri" w:hAnsi="Calibri" w:cs="Calibri"/>
          <w:b/>
          <w:sz w:val="20"/>
          <w:szCs w:val="20"/>
        </w:rPr>
        <w:tab/>
        <w:t>Evident Integrated Marketing and PR</w:t>
      </w:r>
    </w:p>
    <w:p w14:paraId="7D246CAE" w14:textId="41F38572" w:rsidR="005479EC" w:rsidRPr="00B824BB" w:rsidRDefault="009D27A3">
      <w:pPr>
        <w:tabs>
          <w:tab w:val="left" w:pos="2520"/>
        </w:tabs>
        <w:spacing w:line="240" w:lineRule="auto"/>
        <w:jc w:val="both"/>
        <w:rPr>
          <w:rFonts w:ascii="Calibri" w:hAnsi="Calibri" w:cs="Calibri"/>
          <w:sz w:val="20"/>
          <w:szCs w:val="20"/>
        </w:rPr>
      </w:pPr>
      <w:r w:rsidRPr="00B824BB">
        <w:rPr>
          <w:rFonts w:ascii="Calibri" w:hAnsi="Calibri" w:cs="Calibri"/>
          <w:sz w:val="20"/>
          <w:szCs w:val="20"/>
        </w:rPr>
        <w:t xml:space="preserve">King Martin </w:t>
      </w:r>
      <w:proofErr w:type="spellStart"/>
      <w:r w:rsidRPr="00B824BB">
        <w:rPr>
          <w:rFonts w:ascii="Calibri" w:hAnsi="Calibri" w:cs="Calibri"/>
          <w:sz w:val="20"/>
          <w:szCs w:val="20"/>
        </w:rPr>
        <w:t>Agoncillo</w:t>
      </w:r>
      <w:proofErr w:type="spellEnd"/>
      <w:r w:rsidRPr="00B824BB">
        <w:rPr>
          <w:rFonts w:ascii="Calibri" w:hAnsi="Calibri" w:cs="Calibri"/>
          <w:sz w:val="20"/>
          <w:szCs w:val="20"/>
        </w:rPr>
        <w:t xml:space="preserve">                           </w:t>
      </w:r>
      <w:r w:rsidRPr="00B824BB">
        <w:rPr>
          <w:rFonts w:ascii="Calibri" w:hAnsi="Calibri" w:cs="Calibri"/>
          <w:sz w:val="20"/>
          <w:szCs w:val="20"/>
        </w:rPr>
        <w:t xml:space="preserve">                              </w:t>
      </w:r>
      <w:r w:rsidR="00701DC7" w:rsidRPr="00B824BB">
        <w:rPr>
          <w:rFonts w:ascii="Calibri" w:hAnsi="Calibri" w:cs="Calibri"/>
          <w:sz w:val="20"/>
          <w:szCs w:val="20"/>
        </w:rPr>
        <w:t>Melissa Monico</w:t>
      </w:r>
    </w:p>
    <w:p w14:paraId="796A59AD" w14:textId="6D0684D9" w:rsidR="005479EC" w:rsidRPr="00B824BB" w:rsidRDefault="009D27A3">
      <w:pPr>
        <w:tabs>
          <w:tab w:val="left" w:pos="2520"/>
        </w:tabs>
        <w:spacing w:line="240" w:lineRule="auto"/>
        <w:jc w:val="both"/>
        <w:rPr>
          <w:rFonts w:ascii="Calibri" w:hAnsi="Calibri" w:cs="Calibri"/>
          <w:color w:val="0000FF"/>
          <w:sz w:val="20"/>
          <w:szCs w:val="20"/>
        </w:rPr>
      </w:pPr>
      <w:r w:rsidRPr="00B824BB">
        <w:rPr>
          <w:rFonts w:ascii="Calibri" w:hAnsi="Calibri" w:cs="Calibri"/>
          <w:color w:val="0000FF"/>
          <w:sz w:val="20"/>
          <w:szCs w:val="20"/>
        </w:rPr>
        <w:t>agoncillo.ku@pg.com</w:t>
      </w:r>
      <w:r w:rsidRPr="00B824BB">
        <w:rPr>
          <w:rFonts w:ascii="Calibri" w:hAnsi="Calibri" w:cs="Calibri"/>
          <w:sz w:val="20"/>
          <w:szCs w:val="20"/>
        </w:rPr>
        <w:t xml:space="preserve"> </w:t>
      </w:r>
      <w:r w:rsidRPr="00B824BB">
        <w:rPr>
          <w:rFonts w:ascii="Calibri" w:hAnsi="Calibri" w:cs="Calibri"/>
          <w:color w:val="555555"/>
          <w:sz w:val="21"/>
          <w:szCs w:val="21"/>
          <w:highlight w:val="white"/>
        </w:rPr>
        <w:t xml:space="preserve">                                    </w:t>
      </w:r>
      <w:r w:rsidRPr="00B824BB">
        <w:rPr>
          <w:rFonts w:ascii="Calibri" w:hAnsi="Calibri" w:cs="Calibri"/>
          <w:color w:val="555555"/>
          <w:sz w:val="21"/>
          <w:szCs w:val="21"/>
          <w:highlight w:val="white"/>
        </w:rPr>
        <w:tab/>
      </w:r>
      <w:r w:rsidRPr="00B824BB">
        <w:rPr>
          <w:rFonts w:ascii="Calibri" w:hAnsi="Calibri" w:cs="Calibri"/>
          <w:color w:val="555555"/>
          <w:sz w:val="21"/>
          <w:szCs w:val="21"/>
          <w:highlight w:val="white"/>
        </w:rPr>
        <w:tab/>
      </w:r>
      <w:r w:rsidR="00701DC7" w:rsidRPr="00B824BB">
        <w:rPr>
          <w:rFonts w:ascii="Calibri" w:hAnsi="Calibri" w:cs="Calibri"/>
          <w:color w:val="0000FF"/>
          <w:sz w:val="20"/>
          <w:szCs w:val="20"/>
        </w:rPr>
        <w:t>m.monico@evident.ph</w:t>
      </w:r>
    </w:p>
    <w:p w14:paraId="7FFF3575" w14:textId="77777777" w:rsidR="005479EC" w:rsidRPr="00B824BB" w:rsidRDefault="005479EC">
      <w:pPr>
        <w:tabs>
          <w:tab w:val="left" w:pos="2520"/>
        </w:tabs>
        <w:jc w:val="both"/>
        <w:rPr>
          <w:rFonts w:ascii="Calibri" w:eastAsia="Open Sans" w:hAnsi="Calibri" w:cs="Calibri"/>
        </w:rPr>
      </w:pPr>
    </w:p>
    <w:sectPr w:rsidR="005479EC" w:rsidRPr="00B824BB" w:rsidSect="003A26A7">
      <w:headerReference w:type="default" r:id="rId10"/>
      <w:pgSz w:w="11906" w:h="16838" w:code="9"/>
      <w:pgMar w:top="1152" w:right="1152" w:bottom="1152" w:left="1152"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9566F" w14:textId="77777777" w:rsidR="009D27A3" w:rsidRDefault="009D27A3">
      <w:pPr>
        <w:spacing w:line="240" w:lineRule="auto"/>
      </w:pPr>
      <w:r>
        <w:separator/>
      </w:r>
    </w:p>
  </w:endnote>
  <w:endnote w:type="continuationSeparator" w:id="0">
    <w:p w14:paraId="0B8BF786" w14:textId="77777777" w:rsidR="009D27A3" w:rsidRDefault="009D2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Titillium Web">
    <w:altName w:val="Times New Roman"/>
    <w:charset w:val="00"/>
    <w:family w:val="auto"/>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4A7AD" w14:textId="77777777" w:rsidR="009D27A3" w:rsidRDefault="009D27A3">
      <w:pPr>
        <w:spacing w:line="240" w:lineRule="auto"/>
      </w:pPr>
      <w:r>
        <w:separator/>
      </w:r>
    </w:p>
  </w:footnote>
  <w:footnote w:type="continuationSeparator" w:id="0">
    <w:p w14:paraId="7448D2D6" w14:textId="77777777" w:rsidR="009D27A3" w:rsidRDefault="009D27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FF5AA" w14:textId="77777777" w:rsidR="005479EC" w:rsidRDefault="005479EC">
    <w:pPr>
      <w:spacing w:line="240" w:lineRule="auto"/>
    </w:pPr>
  </w:p>
  <w:tbl>
    <w:tblPr>
      <w:tblStyle w:val="a3"/>
      <w:tblW w:w="9499" w:type="dxa"/>
      <w:tblBorders>
        <w:top w:val="nil"/>
        <w:left w:val="nil"/>
        <w:bottom w:val="nil"/>
        <w:right w:val="nil"/>
        <w:insideH w:val="nil"/>
        <w:insideV w:val="nil"/>
      </w:tblBorders>
      <w:tblLayout w:type="fixed"/>
      <w:tblLook w:val="0600" w:firstRow="0" w:lastRow="0" w:firstColumn="0" w:lastColumn="0" w:noHBand="1" w:noVBand="1"/>
    </w:tblPr>
    <w:tblGrid>
      <w:gridCol w:w="6023"/>
      <w:gridCol w:w="3476"/>
    </w:tblGrid>
    <w:tr w:rsidR="005479EC" w14:paraId="69A63DCB" w14:textId="77777777" w:rsidTr="00606634">
      <w:trPr>
        <w:trHeight w:val="2183"/>
      </w:trPr>
      <w:tc>
        <w:tcPr>
          <w:tcW w:w="6023" w:type="dxa"/>
          <w:tcBorders>
            <w:top w:val="nil"/>
            <w:left w:val="nil"/>
            <w:bottom w:val="nil"/>
            <w:right w:val="nil"/>
          </w:tcBorders>
          <w:tcMar>
            <w:top w:w="100" w:type="dxa"/>
            <w:left w:w="100" w:type="dxa"/>
            <w:bottom w:w="100" w:type="dxa"/>
            <w:right w:w="100" w:type="dxa"/>
          </w:tcMar>
        </w:tcPr>
        <w:p w14:paraId="3D3039D9" w14:textId="77777777" w:rsidR="005479EC" w:rsidRDefault="009D27A3">
          <w:pPr>
            <w:pStyle w:val="Heading3"/>
            <w:keepNext w:val="0"/>
            <w:keepLines w:val="0"/>
            <w:spacing w:before="280" w:after="0" w:line="240" w:lineRule="auto"/>
            <w:ind w:left="600"/>
            <w:rPr>
              <w:b/>
              <w:color w:val="0000FF"/>
              <w:sz w:val="32"/>
              <w:szCs w:val="32"/>
            </w:rPr>
          </w:pPr>
          <w:bookmarkStart w:id="1" w:name="_heading=h.gjdgxs" w:colFirst="0" w:colLast="0"/>
          <w:bookmarkEnd w:id="1"/>
          <w:r>
            <w:rPr>
              <w:b/>
              <w:color w:val="0000FF"/>
              <w:sz w:val="32"/>
              <w:szCs w:val="32"/>
            </w:rPr>
            <w:t xml:space="preserve"> </w:t>
          </w:r>
        </w:p>
        <w:p w14:paraId="7E28116B" w14:textId="2BAF570B" w:rsidR="005479EC" w:rsidRDefault="00606634">
          <w:pPr>
            <w:pStyle w:val="Heading3"/>
            <w:keepNext w:val="0"/>
            <w:keepLines w:val="0"/>
            <w:spacing w:before="280" w:after="0" w:line="240" w:lineRule="auto"/>
            <w:ind w:left="460"/>
            <w:rPr>
              <w:rFonts w:ascii="Times New Roman" w:eastAsia="Times New Roman" w:hAnsi="Times New Roman" w:cs="Times New Roman"/>
            </w:rPr>
          </w:pPr>
          <w:bookmarkStart w:id="2" w:name="_heading=h.30j0zll" w:colFirst="0" w:colLast="0"/>
          <w:bookmarkEnd w:id="2"/>
          <w:r>
            <w:rPr>
              <w:noProof/>
              <w:lang w:val="en-US"/>
            </w:rPr>
            <w:drawing>
              <wp:anchor distT="114300" distB="114300" distL="114300" distR="114300" simplePos="0" relativeHeight="251658240" behindDoc="0" locked="0" layoutInCell="1" hidden="0" allowOverlap="1" wp14:anchorId="287CB90C" wp14:editId="0C404E37">
                <wp:simplePos x="0" y="0"/>
                <wp:positionH relativeFrom="column">
                  <wp:posOffset>2543175</wp:posOffset>
                </wp:positionH>
                <wp:positionV relativeFrom="paragraph">
                  <wp:posOffset>301625</wp:posOffset>
                </wp:positionV>
                <wp:extent cx="1038225" cy="628650"/>
                <wp:effectExtent l="0" t="0" r="0" b="0"/>
                <wp:wrapSquare wrapText="bothSides" distT="114300" distB="114300" distL="114300" distR="1143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38225" cy="628650"/>
                        </a:xfrm>
                        <a:prstGeom prst="rect">
                          <a:avLst/>
                        </a:prstGeom>
                        <a:ln/>
                      </pic:spPr>
                    </pic:pic>
                  </a:graphicData>
                </a:graphic>
              </wp:anchor>
            </w:drawing>
          </w:r>
          <w:r w:rsidR="0030331B">
            <w:rPr>
              <w:b/>
              <w:color w:val="0000FF"/>
              <w:sz w:val="32"/>
              <w:szCs w:val="32"/>
            </w:rPr>
            <w:t>PHOTO RELEASE</w:t>
          </w:r>
        </w:p>
      </w:tc>
      <w:tc>
        <w:tcPr>
          <w:tcW w:w="3476" w:type="dxa"/>
          <w:tcBorders>
            <w:top w:val="nil"/>
            <w:left w:val="nil"/>
            <w:bottom w:val="nil"/>
            <w:right w:val="nil"/>
          </w:tcBorders>
          <w:tcMar>
            <w:top w:w="100" w:type="dxa"/>
            <w:left w:w="100" w:type="dxa"/>
            <w:bottom w:w="100" w:type="dxa"/>
            <w:right w:w="100" w:type="dxa"/>
          </w:tcMar>
        </w:tcPr>
        <w:p w14:paraId="62314309" w14:textId="77777777" w:rsidR="005479EC" w:rsidRDefault="005479EC">
          <w:pPr>
            <w:spacing w:line="240" w:lineRule="auto"/>
          </w:pPr>
        </w:p>
        <w:p w14:paraId="16E59234" w14:textId="77777777" w:rsidR="005479EC" w:rsidRDefault="009D27A3">
          <w:pPr>
            <w:pStyle w:val="Heading1"/>
            <w:keepNext w:val="0"/>
            <w:keepLines w:val="0"/>
            <w:spacing w:before="0" w:after="0" w:line="240" w:lineRule="auto"/>
            <w:rPr>
              <w:b/>
              <w:sz w:val="20"/>
              <w:szCs w:val="20"/>
            </w:rPr>
          </w:pPr>
          <w:bookmarkStart w:id="3" w:name="_heading=h.1fob9te" w:colFirst="0" w:colLast="0"/>
          <w:bookmarkEnd w:id="3"/>
          <w:r>
            <w:rPr>
              <w:b/>
              <w:sz w:val="20"/>
              <w:szCs w:val="20"/>
            </w:rPr>
            <w:t>Procter &amp; Gamble Philippines, Inc.</w:t>
          </w:r>
        </w:p>
        <w:p w14:paraId="002697E1" w14:textId="77777777" w:rsidR="005479EC" w:rsidRDefault="009D27A3">
          <w:pPr>
            <w:spacing w:line="240" w:lineRule="auto"/>
            <w:ind w:right="20"/>
            <w:rPr>
              <w:sz w:val="18"/>
              <w:szCs w:val="18"/>
            </w:rPr>
          </w:pPr>
          <w:r>
            <w:rPr>
              <w:sz w:val="18"/>
              <w:szCs w:val="18"/>
            </w:rPr>
            <w:t>10</w:t>
          </w:r>
          <w:r>
            <w:rPr>
              <w:sz w:val="18"/>
              <w:szCs w:val="18"/>
              <w:vertAlign w:val="superscript"/>
            </w:rPr>
            <w:t>th</w:t>
          </w:r>
          <w:r>
            <w:rPr>
              <w:sz w:val="18"/>
              <w:szCs w:val="18"/>
            </w:rPr>
            <w:t xml:space="preserve"> Floor, Net Park,</w:t>
          </w:r>
        </w:p>
        <w:p w14:paraId="639D550C" w14:textId="77777777" w:rsidR="005479EC" w:rsidRDefault="009D27A3">
          <w:pPr>
            <w:spacing w:line="240" w:lineRule="auto"/>
            <w:ind w:right="20"/>
            <w:rPr>
              <w:sz w:val="18"/>
              <w:szCs w:val="18"/>
            </w:rPr>
          </w:pPr>
          <w:r>
            <w:rPr>
              <w:sz w:val="18"/>
              <w:szCs w:val="18"/>
            </w:rPr>
            <w:t>5</w:t>
          </w:r>
          <w:r>
            <w:rPr>
              <w:sz w:val="18"/>
              <w:szCs w:val="18"/>
              <w:vertAlign w:val="superscript"/>
            </w:rPr>
            <w:t>th</w:t>
          </w:r>
          <w:r>
            <w:rPr>
              <w:sz w:val="18"/>
              <w:szCs w:val="18"/>
            </w:rPr>
            <w:t xml:space="preserve"> Avenue, Bonifacio Global City</w:t>
          </w:r>
        </w:p>
        <w:p w14:paraId="25D4A40D" w14:textId="77777777" w:rsidR="005479EC" w:rsidRDefault="009D27A3">
          <w:pPr>
            <w:spacing w:line="240" w:lineRule="auto"/>
            <w:ind w:right="20"/>
            <w:rPr>
              <w:sz w:val="18"/>
              <w:szCs w:val="18"/>
            </w:rPr>
          </w:pPr>
          <w:r>
            <w:rPr>
              <w:sz w:val="18"/>
              <w:szCs w:val="18"/>
            </w:rPr>
            <w:t>Taguig City, Philippines</w:t>
          </w:r>
        </w:p>
      </w:tc>
    </w:tr>
  </w:tbl>
  <w:p w14:paraId="299D81FE" w14:textId="77777777" w:rsidR="005479EC" w:rsidRDefault="005479EC" w:rsidP="0060663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EC"/>
    <w:rsid w:val="00005798"/>
    <w:rsid w:val="00073474"/>
    <w:rsid w:val="001C34C1"/>
    <w:rsid w:val="001F0EB2"/>
    <w:rsid w:val="002F666A"/>
    <w:rsid w:val="0030331B"/>
    <w:rsid w:val="003A26A7"/>
    <w:rsid w:val="00457C0A"/>
    <w:rsid w:val="004B47E0"/>
    <w:rsid w:val="004C77E1"/>
    <w:rsid w:val="00532185"/>
    <w:rsid w:val="005479EC"/>
    <w:rsid w:val="005B6C83"/>
    <w:rsid w:val="00606634"/>
    <w:rsid w:val="006B1BEE"/>
    <w:rsid w:val="00701DC7"/>
    <w:rsid w:val="00775299"/>
    <w:rsid w:val="007B5F55"/>
    <w:rsid w:val="007C6B4D"/>
    <w:rsid w:val="0084543C"/>
    <w:rsid w:val="008B68EF"/>
    <w:rsid w:val="00913467"/>
    <w:rsid w:val="009D27A3"/>
    <w:rsid w:val="00B420D0"/>
    <w:rsid w:val="00B824BB"/>
    <w:rsid w:val="00C00B7C"/>
    <w:rsid w:val="00CC0F43"/>
    <w:rsid w:val="00DC4291"/>
    <w:rsid w:val="00DD19F4"/>
    <w:rsid w:val="00F45E62"/>
    <w:rsid w:val="00F6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91CE6"/>
  <w15:docId w15:val="{FA2F0022-8ED5-4D04-85AE-9A76E732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DA687A"/>
    <w:rPr>
      <w:sz w:val="16"/>
      <w:szCs w:val="16"/>
    </w:rPr>
  </w:style>
  <w:style w:type="paragraph" w:styleId="CommentText">
    <w:name w:val="annotation text"/>
    <w:basedOn w:val="Normal"/>
    <w:link w:val="CommentTextChar"/>
    <w:uiPriority w:val="99"/>
    <w:semiHidden/>
    <w:unhideWhenUsed/>
    <w:rsid w:val="00DA687A"/>
    <w:pPr>
      <w:spacing w:line="240" w:lineRule="auto"/>
    </w:pPr>
    <w:rPr>
      <w:sz w:val="20"/>
      <w:szCs w:val="20"/>
    </w:rPr>
  </w:style>
  <w:style w:type="character" w:customStyle="1" w:styleId="CommentTextChar">
    <w:name w:val="Comment Text Char"/>
    <w:basedOn w:val="DefaultParagraphFont"/>
    <w:link w:val="CommentText"/>
    <w:uiPriority w:val="99"/>
    <w:semiHidden/>
    <w:rsid w:val="00DA687A"/>
    <w:rPr>
      <w:sz w:val="20"/>
      <w:szCs w:val="20"/>
    </w:rPr>
  </w:style>
  <w:style w:type="paragraph" w:styleId="CommentSubject">
    <w:name w:val="annotation subject"/>
    <w:basedOn w:val="CommentText"/>
    <w:next w:val="CommentText"/>
    <w:link w:val="CommentSubjectChar"/>
    <w:uiPriority w:val="99"/>
    <w:semiHidden/>
    <w:unhideWhenUsed/>
    <w:rsid w:val="00DA687A"/>
    <w:rPr>
      <w:b/>
      <w:bCs/>
    </w:rPr>
  </w:style>
  <w:style w:type="character" w:customStyle="1" w:styleId="CommentSubjectChar">
    <w:name w:val="Comment Subject Char"/>
    <w:basedOn w:val="CommentTextChar"/>
    <w:link w:val="CommentSubject"/>
    <w:uiPriority w:val="99"/>
    <w:semiHidden/>
    <w:rsid w:val="00DA687A"/>
    <w:rPr>
      <w:b/>
      <w:bCs/>
      <w:sz w:val="20"/>
      <w:szCs w:val="20"/>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A26A7"/>
    <w:pPr>
      <w:tabs>
        <w:tab w:val="center" w:pos="4680"/>
        <w:tab w:val="right" w:pos="9360"/>
      </w:tabs>
      <w:spacing w:line="240" w:lineRule="auto"/>
    </w:pPr>
  </w:style>
  <w:style w:type="character" w:customStyle="1" w:styleId="HeaderChar">
    <w:name w:val="Header Char"/>
    <w:basedOn w:val="DefaultParagraphFont"/>
    <w:link w:val="Header"/>
    <w:uiPriority w:val="99"/>
    <w:rsid w:val="003A26A7"/>
  </w:style>
  <w:style w:type="paragraph" w:styleId="Footer">
    <w:name w:val="footer"/>
    <w:basedOn w:val="Normal"/>
    <w:link w:val="FooterChar"/>
    <w:uiPriority w:val="99"/>
    <w:unhideWhenUsed/>
    <w:rsid w:val="003A26A7"/>
    <w:pPr>
      <w:tabs>
        <w:tab w:val="center" w:pos="4680"/>
        <w:tab w:val="right" w:pos="9360"/>
      </w:tabs>
      <w:spacing w:line="240" w:lineRule="auto"/>
    </w:pPr>
  </w:style>
  <w:style w:type="character" w:customStyle="1" w:styleId="FooterChar">
    <w:name w:val="Footer Char"/>
    <w:basedOn w:val="DefaultParagraphFont"/>
    <w:link w:val="Footer"/>
    <w:uiPriority w:val="99"/>
    <w:rsid w:val="003A26A7"/>
  </w:style>
  <w:style w:type="paragraph" w:styleId="NormalWeb">
    <w:name w:val="Normal (Web)"/>
    <w:basedOn w:val="Normal"/>
    <w:uiPriority w:val="99"/>
    <w:semiHidden/>
    <w:unhideWhenUsed/>
    <w:rsid w:val="002F666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9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ts.businesswire.com/ct/CT?id=smartlink&amp;url=http%3A%2F%2Fwww.pg.com&amp;esheet=51885675&amp;newsitemid=20181019005247&amp;lan=en-US&amp;anchor=http%3A%2F%2Fwww.pg.com&amp;index=1&amp;md5=5ed8deaaa9ead41d4c1c9ff2189ed1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PDuEreui1rP3UJv4DxVMk1mXA==">CgMxLjAyCGguZ2pkZ3hzMgloLjMwajB6bGwyCWguMWZvYjl0ZTgAciExc0tGVkg4RjVVem9ST0p4WFNNNHI3SFlUZWs0M1UxVkU=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Banzuelo, Charm</dc:creator>
  <cp:lastModifiedBy>Melissa Monico</cp:lastModifiedBy>
  <cp:revision>24</cp:revision>
  <cp:lastPrinted>2023-10-16T08:01:00Z</cp:lastPrinted>
  <dcterms:created xsi:type="dcterms:W3CDTF">2022-09-27T03:12:00Z</dcterms:created>
  <dcterms:modified xsi:type="dcterms:W3CDTF">2023-10-18T05:38:00Z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4d168bb104d5f3f90867b0b627c71c8ec07acf00cd9442c9320715797c62917e</vt:lpwstr>
  </property>
</Properties>
</file>